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69" w:rsidRDefault="00F21F69" w:rsidP="00F21F69">
      <w:pPr>
        <w:jc w:val="center"/>
      </w:pPr>
      <w:r>
        <w:rPr>
          <w:noProof/>
          <w14:ligatures w14:val="none"/>
        </w:rPr>
        <w:drawing>
          <wp:inline distT="0" distB="0" distL="0" distR="0">
            <wp:extent cx="2072640" cy="1041196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FSEB logo - no b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786" cy="105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F69" w:rsidRDefault="00F21F69" w:rsidP="00F21F69">
      <w:pPr>
        <w:jc w:val="center"/>
      </w:pPr>
    </w:p>
    <w:p w:rsidR="00C0737C" w:rsidRDefault="00C0737C" w:rsidP="00C0737C">
      <w:r>
        <w:t>Dear Fellow Funeral Service Regul</w:t>
      </w:r>
      <w:r w:rsidR="00F21F69">
        <w:t>ators, Educators, and Licensees:</w:t>
      </w:r>
      <w:r w:rsidR="00F21F69">
        <w:br/>
      </w:r>
      <w:r w:rsidR="00F21F69">
        <w:br/>
      </w:r>
      <w:r>
        <w:t>On behalf of The Conference Board of Directors, I am pleased and h</w:t>
      </w:r>
      <w:r w:rsidR="002708C8">
        <w:t xml:space="preserve">onored to welcome you to the 120th </w:t>
      </w:r>
      <w:r>
        <w:t>Annual Meeting of The International Conference of Funeral Service Examining Boar</w:t>
      </w:r>
      <w:r w:rsidR="00E00411">
        <w:t>ds!  Your Conference Board and s</w:t>
      </w:r>
      <w:r>
        <w:t xml:space="preserve">taff have worked hard to provide the very best in programming that we feel will benefit funeral service regulators, educators, and licensees.  I know you will not want to miss any of this outstanding programming, but please leave some time to network with colleagues from around the country.  </w:t>
      </w:r>
      <w:r w:rsidR="00E00411">
        <w:t xml:space="preserve">We hope </w:t>
      </w:r>
      <w:r>
        <w:t xml:space="preserve">you </w:t>
      </w:r>
      <w:r w:rsidR="00E00411">
        <w:t xml:space="preserve">will </w:t>
      </w:r>
      <w:r>
        <w:t xml:space="preserve">explore the wonderful accommodations at the Marina Inn at Grande Dunes as well as experience some </w:t>
      </w:r>
      <w:r w:rsidR="00E00411">
        <w:t xml:space="preserve">of the </w:t>
      </w:r>
      <w:r>
        <w:t>“Southern Hospitality” Myrtle Beach has to offer!</w:t>
      </w:r>
    </w:p>
    <w:p w:rsidR="00C0737C" w:rsidRDefault="00C0737C" w:rsidP="00C0737C">
      <w:r>
        <w:t xml:space="preserve">The staff has been busy this past year, implementing programs that enhance </w:t>
      </w:r>
      <w:r w:rsidR="00E00411">
        <w:t xml:space="preserve">our </w:t>
      </w:r>
      <w:r>
        <w:t>relati</w:t>
      </w:r>
      <w:r w:rsidR="00E00411">
        <w:t xml:space="preserve">onships with the member states and provinces </w:t>
      </w:r>
      <w:r>
        <w:t xml:space="preserve">we serve.  Not only does The Conference provide guidance to these regulatory groups when requested, but we also </w:t>
      </w:r>
      <w:r w:rsidR="00E00411">
        <w:t>supply</w:t>
      </w:r>
      <w:r>
        <w:t xml:space="preserve"> materials and guides that </w:t>
      </w:r>
      <w:r w:rsidR="00E00411">
        <w:t>share</w:t>
      </w:r>
      <w:r>
        <w:t xml:space="preserve"> a wealth of information.  Our newest publication</w:t>
      </w:r>
      <w:r w:rsidR="00E00411">
        <w:t>,</w:t>
      </w:r>
      <w:r>
        <w:t xml:space="preserve"> “Model Disposition Standards</w:t>
      </w:r>
      <w:r w:rsidR="00E00411">
        <w:t>,</w:t>
      </w:r>
      <w:r>
        <w:t xml:space="preserve">” </w:t>
      </w:r>
      <w:r w:rsidR="002708C8">
        <w:t>is available to access at the</w:t>
      </w:r>
      <w:r>
        <w:t xml:space="preserve"> registration desk.  It promotes clarity and uniformity in laws on </w:t>
      </w:r>
      <w:r w:rsidR="00E00411">
        <w:t>Right</w:t>
      </w:r>
      <w:r w:rsidR="002708C8">
        <w:t xml:space="preserve"> of Disposition, as well as </w:t>
      </w:r>
      <w:r>
        <w:t xml:space="preserve">the licensing and regulation of </w:t>
      </w:r>
      <w:bookmarkStart w:id="0" w:name="_GoBack"/>
      <w:bookmarkEnd w:id="0"/>
      <w:r>
        <w:t>individuals and facilities carrying out the final disposition of human remains.</w:t>
      </w:r>
    </w:p>
    <w:p w:rsidR="00C0737C" w:rsidRDefault="00E00411" w:rsidP="00C0737C">
      <w:r>
        <w:t>To enhance the exam experience</w:t>
      </w:r>
      <w:r w:rsidR="00C0737C">
        <w:t xml:space="preserve">, we </w:t>
      </w:r>
      <w:r>
        <w:t>developed and implemented a</w:t>
      </w:r>
      <w:r w:rsidR="00C0737C">
        <w:t xml:space="preserve"> Candidate Portal</w:t>
      </w:r>
      <w:r>
        <w:t>,</w:t>
      </w:r>
      <w:r w:rsidR="00C0737C">
        <w:t xml:space="preserve"> as well as </w:t>
      </w:r>
      <w:r w:rsidR="002A3DC9">
        <w:t xml:space="preserve">a requested </w:t>
      </w:r>
      <w:r w:rsidR="00C0737C">
        <w:t>Exam Voucher Sy</w:t>
      </w:r>
      <w:r w:rsidR="002A3DC9">
        <w:t>stem for Mortuary Programs</w:t>
      </w:r>
      <w:r>
        <w:t>.  Our Board Members and s</w:t>
      </w:r>
      <w:r w:rsidR="00C0737C">
        <w:t xml:space="preserve">taff have worked to </w:t>
      </w:r>
      <w:r>
        <w:t>provide education</w:t>
      </w:r>
      <w:r w:rsidR="00C0737C">
        <w:t xml:space="preserve"> about the NBE</w:t>
      </w:r>
      <w:r w:rsidR="002A3DC9">
        <w:t xml:space="preserve">, and </w:t>
      </w:r>
      <w:r>
        <w:t>are happy to have shared with</w:t>
      </w:r>
      <w:r w:rsidR="002A3DC9">
        <w:t xml:space="preserve"> several groups this year, </w:t>
      </w:r>
      <w:r w:rsidR="00C0737C">
        <w:t>including mortuary schools, funeral associa</w:t>
      </w:r>
      <w:r w:rsidR="002A3DC9">
        <w:t xml:space="preserve">tions, and state associations. We value their input, and appreciate the opportunities for communication.  </w:t>
      </w:r>
    </w:p>
    <w:p w:rsidR="00C0737C" w:rsidRDefault="00C0737C" w:rsidP="00C0737C">
      <w:r>
        <w:t xml:space="preserve">Last, but not least, my heartfelt thanks to our Board Members, all </w:t>
      </w:r>
      <w:r w:rsidR="008B07F9">
        <w:t xml:space="preserve">of </w:t>
      </w:r>
      <w:r>
        <w:t xml:space="preserve">the </w:t>
      </w:r>
      <w:r w:rsidR="008B07F9">
        <w:t xml:space="preserve">dedicated </w:t>
      </w:r>
      <w:r>
        <w:t>committee members that volunteer their time to make The Conference what it is today, and especially our wonderful st</w:t>
      </w:r>
      <w:r w:rsidR="008B07F9">
        <w:t xml:space="preserve">aff in Fayetteville, Arkansas! </w:t>
      </w:r>
      <w:r>
        <w:t>I feel truly blessed to have met so</w:t>
      </w:r>
      <w:r w:rsidR="002A3DC9">
        <w:t xml:space="preserve"> many of you these past years. </w:t>
      </w:r>
      <w:r>
        <w:t>I look forward to seeing you and again, my thanks for your support.</w:t>
      </w:r>
    </w:p>
    <w:p w:rsidR="00C0737C" w:rsidRDefault="008B07F9" w:rsidP="00C0737C">
      <w:r>
        <w:br/>
      </w:r>
      <w:r w:rsidR="00C0737C">
        <w:t>Best Regards,</w:t>
      </w:r>
    </w:p>
    <w:p w:rsidR="008B07F9" w:rsidRDefault="00F21F69" w:rsidP="00C0737C">
      <w:r w:rsidRPr="00F21F69">
        <w:rPr>
          <w:noProof/>
        </w:rPr>
        <w:drawing>
          <wp:inline distT="0" distB="0" distL="0" distR="0" wp14:anchorId="29505F4D" wp14:editId="005B1AEA">
            <wp:extent cx="1402080" cy="57125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768" b="12358"/>
                    <a:stretch/>
                  </pic:blipFill>
                  <pic:spPr bwMode="auto">
                    <a:xfrm>
                      <a:off x="0" y="0"/>
                      <a:ext cx="1533554" cy="624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737C" w:rsidRDefault="00C0737C" w:rsidP="00C0737C">
      <w:r>
        <w:t>Jon W. Rettig, Sr.</w:t>
      </w:r>
      <w:r w:rsidR="00F21F69">
        <w:t>, President</w:t>
      </w:r>
      <w:r w:rsidR="00F21F69">
        <w:br/>
        <w:t>ICFSEB</w:t>
      </w:r>
    </w:p>
    <w:p w:rsidR="00CC1F4F" w:rsidRDefault="00CC1F4F"/>
    <w:sectPr w:rsidR="00CC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7C"/>
    <w:rsid w:val="002708C8"/>
    <w:rsid w:val="002A3DC9"/>
    <w:rsid w:val="008B07F9"/>
    <w:rsid w:val="00A14B62"/>
    <w:rsid w:val="00C0737C"/>
    <w:rsid w:val="00CC1F4F"/>
    <w:rsid w:val="00E00411"/>
    <w:rsid w:val="00F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16B3A"/>
  <w15:chartTrackingRefBased/>
  <w15:docId w15:val="{4DD17AEB-2FBB-43B6-8EC4-9B347432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7C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0737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C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Joseph</dc:creator>
  <cp:keywords/>
  <dc:description/>
  <cp:lastModifiedBy>Allie Sparkman</cp:lastModifiedBy>
  <cp:revision>4</cp:revision>
  <cp:lastPrinted>2024-02-01T17:06:00Z</cp:lastPrinted>
  <dcterms:created xsi:type="dcterms:W3CDTF">2024-02-01T17:03:00Z</dcterms:created>
  <dcterms:modified xsi:type="dcterms:W3CDTF">2024-02-01T19:16:00Z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31ec7c48-c7e7-46ce-8acf-36a1e3794d31</vt:lpwstr>
  </property>
</Properties>
</file>